
<file path=[Content_Types].xml><?xml version="1.0" encoding="utf-8"?>
<Types xmlns="http://schemas.openxmlformats.org/package/2006/content-types">
  <Default Extension="xlsx" ContentType="application/vnd.openxmlformats-officedocument.spreadsheetml.sheet"/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charts/chart2.xml" ContentType="application/vnd.openxmlformats-officedocument.drawingml.chart+xml"/>
  <Override PartName="/word/charts/chart1.xml" ContentType="application/vnd.openxmlformats-officedocument.drawingml.chart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621"/>
        <w:tblW w:w="10345" w:type="dxa"/>
        <w:tblInd w:w="-559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843"/>
        <w:gridCol w:w="567"/>
        <w:gridCol w:w="709"/>
        <w:gridCol w:w="755"/>
        <w:gridCol w:w="745"/>
        <w:gridCol w:w="768"/>
        <w:gridCol w:w="850"/>
        <w:gridCol w:w="709"/>
        <w:gridCol w:w="851"/>
        <w:gridCol w:w="992"/>
        <w:gridCol w:w="989"/>
      </w:tblGrid>
      <w:tr>
        <w:tblPrEx/>
        <w:trPr>
          <w:trHeight w:val="1017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№</w:t>
            </w:r>
            <w:r>
              <w:rPr>
                <w:sz w:val="24"/>
                <w:szCs w:val="28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Заболевания</w:t>
            </w:r>
            <w:r>
              <w:rPr>
                <w:sz w:val="24"/>
                <w:szCs w:val="28"/>
              </w:rPr>
            </w:r>
          </w:p>
        </w:tc>
        <w:tc>
          <w:tcPr>
            <w:gridSpan w:val="2"/>
            <w:tcW w:w="1276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20</w:t>
            </w:r>
            <w:r>
              <w:rPr>
                <w:sz w:val="24"/>
                <w:szCs w:val="28"/>
                <w:lang w:val="ru-RU"/>
              </w:rPr>
              <w:t xml:space="preserve">20</w:t>
            </w:r>
            <w:r>
              <w:rPr>
                <w:sz w:val="24"/>
                <w:szCs w:val="28"/>
                <w:lang w:val="ru-RU"/>
              </w:rPr>
            </w:r>
          </w:p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год</w:t>
            </w:r>
            <w:r>
              <w:rPr>
                <w:sz w:val="24"/>
                <w:szCs w:val="28"/>
              </w:rPr>
            </w:r>
          </w:p>
        </w:tc>
        <w:tc>
          <w:tcPr>
            <w:gridSpan w:val="2"/>
            <w:tcW w:w="150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20</w:t>
            </w:r>
            <w:r>
              <w:rPr>
                <w:sz w:val="24"/>
                <w:szCs w:val="28"/>
              </w:rPr>
              <w:t xml:space="preserve">21</w:t>
            </w:r>
            <w:r>
              <w:rPr>
                <w:sz w:val="24"/>
                <w:szCs w:val="28"/>
              </w:rPr>
            </w:r>
          </w:p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год</w:t>
            </w:r>
            <w:r>
              <w:rPr>
                <w:sz w:val="24"/>
                <w:szCs w:val="28"/>
              </w:rPr>
            </w:r>
          </w:p>
        </w:tc>
        <w:tc>
          <w:tcPr>
            <w:gridSpan w:val="2"/>
            <w:tcW w:w="161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</w:rPr>
              <w:t xml:space="preserve">22</w:t>
            </w:r>
            <w:r>
              <w:rPr>
                <w:sz w:val="24"/>
                <w:szCs w:val="28"/>
              </w:rPr>
            </w:r>
          </w:p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год</w:t>
            </w:r>
            <w:r>
              <w:rPr>
                <w:sz w:val="24"/>
                <w:szCs w:val="28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</w:rPr>
              <w:t xml:space="preserve">23</w:t>
            </w:r>
            <w:r>
              <w:rPr>
                <w:sz w:val="24"/>
                <w:szCs w:val="28"/>
              </w:rPr>
            </w:r>
          </w:p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год</w:t>
            </w:r>
            <w:r>
              <w:rPr>
                <w:sz w:val="24"/>
                <w:szCs w:val="28"/>
              </w:rPr>
            </w:r>
          </w:p>
        </w:tc>
        <w:tc>
          <w:tcPr>
            <w:gridSpan w:val="2"/>
            <w:tcW w:w="198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</w:rPr>
              <w:t xml:space="preserve">24</w:t>
            </w:r>
            <w:r>
              <w:rPr>
                <w:sz w:val="24"/>
                <w:szCs w:val="28"/>
              </w:rPr>
            </w:r>
          </w:p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год</w:t>
            </w:r>
            <w:r>
              <w:rPr>
                <w:sz w:val="24"/>
                <w:szCs w:val="28"/>
              </w:rPr>
            </w:r>
          </w:p>
        </w:tc>
      </w:tr>
      <w:tr>
        <w:tblPrEx/>
        <w:trPr>
          <w:trHeight w:val="508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1</w:t>
            </w:r>
            <w:r>
              <w:rPr>
                <w:sz w:val="24"/>
                <w:szCs w:val="28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i/>
                <w:sz w:val="24"/>
                <w:szCs w:val="28"/>
              </w:rPr>
            </w:pPr>
            <w:r>
              <w:rPr>
                <w:i/>
                <w:sz w:val="24"/>
                <w:szCs w:val="28"/>
              </w:rPr>
              <w:t xml:space="preserve">ОРВИ</w:t>
            </w:r>
            <w:r>
              <w:rPr>
                <w:i/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315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94</w:t>
            </w:r>
            <w:r>
              <w:rPr>
                <w:sz w:val="24"/>
                <w:szCs w:val="28"/>
                <w:lang w:val="ru-RU"/>
              </w:rPr>
              <w:t xml:space="preserve">,8</w:t>
            </w:r>
            <w:r>
              <w:rPr>
                <w:sz w:val="24"/>
                <w:szCs w:val="28"/>
                <w:lang w:val="ru-RU"/>
              </w:rPr>
              <w:t xml:space="preserve">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849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95,18%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851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94,87%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627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92,75%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492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93,71%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1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2</w:t>
            </w:r>
            <w:r>
              <w:rPr>
                <w:sz w:val="24"/>
                <w:szCs w:val="28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Бронхит</w:t>
            </w:r>
            <w:r>
              <w:rPr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2,8%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23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2,58%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1,11%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1,33%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08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</w:t>
            </w:r>
            <w:r>
              <w:rPr>
                <w:sz w:val="24"/>
                <w:szCs w:val="28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Пневмония</w:t>
            </w:r>
            <w:r>
              <w:rPr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0,45%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0,19%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1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Отиты</w:t>
            </w:r>
            <w:r>
              <w:rPr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5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1,5%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0,45%</w:t>
            </w:r>
            <w:r>
              <w:rPr>
                <w:sz w:val="24"/>
                <w:szCs w:val="28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1,23%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15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2,22%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6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1,14%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08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5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Конъюнктивит</w:t>
            </w:r>
            <w:r>
              <w:rPr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0,6%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6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0,67%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1,23%</w:t>
            </w:r>
            <w:r>
              <w:rPr>
                <w:sz w:val="24"/>
                <w:szCs w:val="28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1,33%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  <w:t xml:space="preserve">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08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6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Травмы</w:t>
            </w:r>
            <w:r>
              <w:rPr>
                <w:sz w:val="24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0,11%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0,45%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0,19%</w:t>
            </w:r>
            <w:r>
              <w:rPr>
                <w:sz w:val="24"/>
                <w:szCs w:val="28"/>
              </w:rPr>
            </w:r>
          </w:p>
        </w:tc>
      </w:tr>
      <w:tr>
        <w:tblPrEx/>
        <w:trPr>
          <w:trHeight w:val="508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Инфекции мочевыводящих путей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0,11%</w:t>
            </w:r>
            <w:r>
              <w:rPr>
                <w:sz w:val="24"/>
                <w:szCs w:val="28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0,11%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</w:rPr>
              <w:t xml:space="preserve">0,3%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0%</w:t>
            </w:r>
            <w:r>
              <w:rPr>
                <w:sz w:val="24"/>
                <w:szCs w:val="28"/>
              </w:rPr>
            </w:r>
          </w:p>
        </w:tc>
      </w:tr>
      <w:tr>
        <w:tblPrEx/>
        <w:trPr>
          <w:trHeight w:val="510"/>
        </w:trPr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Кишечные инфекции 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0,3%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5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45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  <w:lang w:val="ru-RU"/>
              </w:rPr>
              <w:t xml:space="preserve">0,45%</w:t>
            </w:r>
            <w:r>
              <w:rPr>
                <w:sz w:val="24"/>
                <w:szCs w:val="28"/>
              </w:rPr>
            </w:r>
          </w:p>
        </w:tc>
        <w:tc>
          <w:tcPr>
            <w:tcBorders>
              <w:right w:val="single" w:color="000000" w:sz="4" w:space="0"/>
            </w:tcBorders>
            <w:tcW w:w="76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9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000000" w:sz="4" w:space="0"/>
            </w:tcBorders>
            <w:tcW w:w="85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23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W w:w="85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3,4%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right w:val="single" w:color="auto" w:sz="4" w:space="0"/>
            </w:tcBorders>
            <w:tcW w:w="992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tcBorders>
              <w:left w:val="single" w:color="auto" w:sz="4" w:space="0"/>
            </w:tcBorders>
            <w:tcW w:w="989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1,52%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08"/>
        </w:trPr>
        <w:tc>
          <w:tcPr>
            <w:gridSpan w:val="2"/>
            <w:tcW w:w="2410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  <w:highlight w:val="yellow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Всего заболеваний за год</w:t>
            </w:r>
            <w:r>
              <w:rPr>
                <w:sz w:val="24"/>
                <w:szCs w:val="28"/>
                <w:highlight w:val="yellow"/>
                <w:lang w:val="ru-RU"/>
              </w:rPr>
            </w:r>
          </w:p>
        </w:tc>
        <w:tc>
          <w:tcPr>
            <w:gridSpan w:val="2"/>
            <w:tcW w:w="1276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332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50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892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61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897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676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98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525</w:t>
            </w:r>
            <w:r>
              <w:rPr>
                <w:sz w:val="24"/>
                <w:szCs w:val="28"/>
                <w:lang w:val="ru-RU"/>
              </w:rPr>
            </w:r>
          </w:p>
        </w:tc>
      </w:tr>
      <w:tr>
        <w:tblPrEx/>
        <w:trPr>
          <w:trHeight w:val="508"/>
        </w:trPr>
        <w:tc>
          <w:tcPr>
            <w:gridSpan w:val="2"/>
            <w:tcW w:w="2410" w:type="dxa"/>
            <w:textDirection w:val="lrTb"/>
            <w:noWrap w:val="false"/>
          </w:tcPr>
          <w:p>
            <w:pPr>
              <w:jc w:val="both"/>
              <w:rPr>
                <w:sz w:val="24"/>
                <w:szCs w:val="28"/>
                <w:highlight w:val="yellow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Количество детей </w:t>
            </w:r>
            <w:r>
              <w:rPr>
                <w:sz w:val="24"/>
                <w:szCs w:val="28"/>
                <w:highlight w:val="yellow"/>
                <w:lang w:val="ru-RU"/>
              </w:rPr>
            </w:r>
          </w:p>
        </w:tc>
        <w:tc>
          <w:tcPr>
            <w:gridSpan w:val="2"/>
            <w:tcW w:w="1276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244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50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228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618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217</w:t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560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</w:r>
            <w:r>
              <w:rPr>
                <w:sz w:val="24"/>
                <w:szCs w:val="28"/>
                <w:lang w:val="ru-RU"/>
              </w:rPr>
            </w:r>
          </w:p>
        </w:tc>
        <w:tc>
          <w:tcPr>
            <w:gridSpan w:val="2"/>
            <w:tcW w:w="1981" w:type="dxa"/>
            <w:textDirection w:val="lrTb"/>
            <w:noWrap w:val="false"/>
          </w:tcPr>
          <w:p>
            <w:pPr>
              <w:jc w:val="center"/>
              <w:rPr>
                <w:sz w:val="24"/>
                <w:szCs w:val="28"/>
                <w:lang w:val="ru-RU"/>
              </w:rPr>
            </w:pPr>
            <w:r>
              <w:rPr>
                <w:sz w:val="24"/>
                <w:szCs w:val="28"/>
                <w:lang w:val="ru-RU"/>
              </w:rPr>
              <w:t xml:space="preserve">164</w:t>
            </w:r>
            <w:r>
              <w:rPr>
                <w:sz w:val="24"/>
                <w:szCs w:val="28"/>
                <w:lang w:val="ru-RU"/>
              </w:rPr>
            </w:r>
          </w:p>
        </w:tc>
      </w:tr>
    </w:tbl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Диаграмма анализа заболевания в процентном соотношении:</w:t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drawing>
          <wp:inline distT="0" distB="0" distL="0" distR="0">
            <wp:extent cx="5486400" cy="3200400"/>
            <wp:effectExtent l="19050" t="0" r="19050" b="0"/>
            <wp:docPr id="1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Диаграмма анализа заболевания по количеству случаев:</w:t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drawing>
          <wp:inline distT="0" distB="0" distL="0" distR="0">
            <wp:extent cx="5486400" cy="3200400"/>
            <wp:effectExtent l="19050" t="0" r="19050" b="0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</w:r>
    </w:p>
    <w:p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</w:r>
      <w:r>
        <w:rPr>
          <w:rFonts w:ascii="Times New Roman" w:hAnsi="Times New Roman" w:cs="Times New Roman"/>
          <w:sz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link w:val="4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618"/>
    <w:link w:val="46"/>
    <w:uiPriority w:val="35"/>
    <w:rPr>
      <w:b/>
      <w:bCs/>
      <w:color w:val="4f81bd" w:themeColor="accent1"/>
      <w:sz w:val="18"/>
      <w:szCs w:val="18"/>
    </w:rPr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table" w:styleId="621" w:customStyle="1">
    <w:name w:val="Table Normal"/>
    <w:uiPriority w:val="2"/>
    <w:semiHidden/>
    <w:unhideWhenUsed/>
    <w:qFormat/>
    <w:pPr>
      <w:spacing w:after="0" w:line="240" w:lineRule="auto"/>
      <w:widowControl w:val="off"/>
    </w:pPr>
    <w:rPr>
      <w:rFonts w:eastAsiaTheme="minorHAnsi"/>
      <w:lang w:val="en-US" w:eastAsia="en-US"/>
    </w:rPr>
    <w:tblPr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paragraph" w:styleId="622">
    <w:name w:val="Balloon Text"/>
    <w:basedOn w:val="617"/>
    <w:link w:val="623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23" w:customStyle="1">
    <w:name w:val="Текст выноски Знак"/>
    <w:basedOn w:val="618"/>
    <w:link w:val="622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chart" Target="charts/chart1.xml" /><Relationship Id="rId9" Type="http://schemas.openxmlformats.org/officeDocument/2006/relationships/chart" Target="charts/chart2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charts/_rels/chart1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1.xlsx" /></Relationships>
</file>

<file path=word/charts/_rels/chart2.xml.rels><?xml version="1.0" encoding="UTF-8" standalone="yes"?><Relationships xmlns="http://schemas.openxmlformats.org/package/2006/relationships"><Relationship Id="rId1" Type="http://schemas.openxmlformats.org/officeDocument/2006/relationships/package" Target="../embeddings/Microsoft_Excel_Worksheet2.xlsx" 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1"/>
  <c:lang val="ru-RU"/>
  <c:roundedCorners val="0"/>
  <mc:AlternateContent>
    <mc:Choice Requires="c14">
      <c14:style val="126"/>
    </mc:Choice>
    <mc:Fallback>
      <c:style val="26"/>
    </mc:Fallback>
  </mc:AlternateContent>
  <c:chart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ОРВИ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94.8</c:v>
                </c:pt>
                <c:pt idx="1">
                  <c:v>95.17999999999999</c:v>
                </c:pt>
                <c:pt idx="2">
                  <c:v>94.86999999999999</c:v>
                </c:pt>
                <c:pt idx="3">
                  <c:v>92.75</c:v>
                </c:pt>
                <c:pt idx="4">
                  <c:v>93.71000000000001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Бронхит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2.8</c:v>
                </c:pt>
                <c:pt idx="1">
                  <c:v>2.58</c:v>
                </c:pt>
                <c:pt idx="2">
                  <c:v>1.11</c:v>
                </c:pt>
                <c:pt idx="3">
                  <c:v>0</c:v>
                </c:pt>
                <c:pt idx="4">
                  <c:v>1.33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 xml:space="preserve">Пневмония 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0.45</c:v>
                </c:pt>
                <c:pt idx="2">
                  <c:v>0</c:v>
                </c:pt>
                <c:pt idx="3">
                  <c:v>0</c:v>
                </c:pt>
                <c:pt idx="4">
                  <c:v>0.19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Отиты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1.5</c:v>
                </c:pt>
                <c:pt idx="1">
                  <c:v>0.45</c:v>
                </c:pt>
                <c:pt idx="2">
                  <c:v>1.23</c:v>
                </c:pt>
                <c:pt idx="3">
                  <c:v>2.22</c:v>
                </c:pt>
                <c:pt idx="4">
                  <c:v>1.1399999999999997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Коньюктивит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Лист1!$F$2:$F$6</c:f>
              <c:numCache>
                <c:formatCode>General</c:formatCode>
                <c:ptCount val="5"/>
                <c:pt idx="0">
                  <c:v>0.6000000000000001</c:v>
                </c:pt>
                <c:pt idx="1">
                  <c:v>0.6700000000000002</c:v>
                </c:pt>
                <c:pt idx="2">
                  <c:v>1.23</c:v>
                </c:pt>
                <c:pt idx="3">
                  <c:v>1.33</c:v>
                </c:pt>
                <c:pt idx="4">
                  <c:v>2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Травмы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Лист1!$G$2:$G$6</c:f>
              <c:numCache>
                <c:formatCode>General</c:formatCode>
                <c:ptCount val="5"/>
                <c:pt idx="0">
                  <c:v>0.30000000000000004</c:v>
                </c:pt>
                <c:pt idx="1">
                  <c:v>0.11</c:v>
                </c:pt>
                <c:pt idx="2">
                  <c:v>0.45</c:v>
                </c:pt>
                <c:pt idx="3">
                  <c:v>0</c:v>
                </c:pt>
                <c:pt idx="4">
                  <c:v>0.19</c:v>
                </c:pt>
              </c:numCache>
            </c:numRef>
          </c:val>
        </c:ser>
        <c:ser>
          <c:idx val="6"/>
          <c:order val="6"/>
          <c:tx>
            <c:strRef>
              <c:f>Лист1!$H$1</c:f>
              <c:strCache>
                <c:ptCount val="1"/>
                <c:pt idx="0">
                  <c:v>ИМП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Лист1!$H$2:$H$6</c:f>
              <c:numCache>
                <c:formatCode>General</c:formatCode>
                <c:ptCount val="5"/>
                <c:pt idx="0">
                  <c:v>0.30000000000000004</c:v>
                </c:pt>
                <c:pt idx="1">
                  <c:v>0.11</c:v>
                </c:pt>
                <c:pt idx="2">
                  <c:v>0.11</c:v>
                </c:pt>
                <c:pt idx="3">
                  <c:v>0.30000000000000004</c:v>
                </c:pt>
                <c:pt idx="4">
                  <c:v>0</c:v>
                </c:pt>
              </c:numCache>
            </c:numRef>
          </c:val>
        </c:ser>
        <c:ser>
          <c:idx val="7"/>
          <c:order val="7"/>
          <c:tx>
            <c:strRef>
              <c:f>Лист1!$I$1</c:f>
              <c:strCache>
                <c:ptCount val="1"/>
                <c:pt idx="0">
                  <c:v xml:space="preserve">Кишеч. Инфекции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Лист1!$I$2:$I$6</c:f>
              <c:numCache>
                <c:formatCode>General</c:formatCode>
                <c:ptCount val="5"/>
                <c:pt idx="0">
                  <c:v>0.30000000000000004</c:v>
                </c:pt>
                <c:pt idx="1">
                  <c:v>0.45</c:v>
                </c:pt>
                <c:pt idx="2">
                  <c:v>1</c:v>
                </c:pt>
                <c:pt idx="3">
                  <c:v>3.4</c:v>
                </c:pt>
                <c:pt idx="4">
                  <c:v>1.52</c:v>
                </c:pt>
              </c:numCache>
            </c:numRef>
          </c:val>
        </c:ser>
        <c:dLbls>
          <c:showBubbleSize val="0"/>
          <c:showCatName val="0"/>
          <c:showLegendKey val="0"/>
          <c:showPercent val="0"/>
          <c:showSerName val="0"/>
          <c:showVal val="0"/>
        </c:dLbls>
        <c:gapWidth val="150"/>
        <c:axId val="94363648"/>
        <c:axId val="94365184"/>
      </c:barChart>
      <c:catAx>
        <c:axId val="94363648"/>
        <c:scaling>
          <c:orientation val="minMax"/>
        </c:scaling>
        <c:delete val="0"/>
        <c:axPos val="b"/>
        <c:majorTickMark val="out"/>
        <c:minorTickMark val="none"/>
        <c:tickLblPos val="nextTo"/>
        <c:crossAx val="94365184"/>
        <c:crosses val="autoZero"/>
        <c:auto val="1"/>
        <c:lblAlgn val="ctr"/>
        <c:lblOffset val="100"/>
        <c:noMultiLvlLbl val="0"/>
      </c:catAx>
      <c:valAx>
        <c:axId val="94365184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94363648"/>
        <c:crosses val="autoZero"/>
        <c:crossBetween val="between"/>
      </c:valAx>
    </c:plotArea>
    <c:legend>
      <c:legendPos val="r"/>
      <c:layout/>
      <c:overlay val="0"/>
    </c:legend>
    <c:plotVisOnly val="1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mc="http://schemas.openxmlformats.org/markup-compatibility/2006" xmlns:c15="http://schemas.microsoft.com/office/drawing/2012/chart" xmlns:c14="http://schemas.microsoft.com/office/drawing/2007/8/2/chart" xmlns:c16r2="http://schemas.microsoft.com/office/drawing/2015/06/chart">
  <c:date1904 val="1"/>
  <c:lang val="ru-RU"/>
  <c:roundedCorners val="0"/>
  <mc:AlternateContent>
    <mc:Choice Requires="c14">
      <c14:style val="126"/>
    </mc:Choice>
    <mc:Fallback>
      <c:style val="26"/>
    </mc:Fallback>
  </mc:AlternateContent>
  <c:chart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ОРВИ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315</c:v>
                </c:pt>
                <c:pt idx="1">
                  <c:v>849</c:v>
                </c:pt>
                <c:pt idx="2">
                  <c:v>851</c:v>
                </c:pt>
                <c:pt idx="3">
                  <c:v>627</c:v>
                </c:pt>
                <c:pt idx="4">
                  <c:v>492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Бронхит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7</c:v>
                </c:pt>
                <c:pt idx="1">
                  <c:v>23</c:v>
                </c:pt>
                <c:pt idx="2">
                  <c:v>10</c:v>
                </c:pt>
                <c:pt idx="3">
                  <c:v>0</c:v>
                </c:pt>
                <c:pt idx="4">
                  <c:v>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Пневмония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0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Отиты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11</c:v>
                </c:pt>
                <c:pt idx="3">
                  <c:v>15</c:v>
                </c:pt>
                <c:pt idx="4">
                  <c:v>6</c:v>
                </c:pt>
              </c:numCache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Коньюктивит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Лист1!$F$2:$F$6</c:f>
              <c:numCache>
                <c:formatCode>General</c:formatCode>
                <c:ptCount val="5"/>
                <c:pt idx="0">
                  <c:v>2</c:v>
                </c:pt>
                <c:pt idx="1">
                  <c:v>6</c:v>
                </c:pt>
                <c:pt idx="2">
                  <c:v>11</c:v>
                </c:pt>
                <c:pt idx="3">
                  <c:v>9</c:v>
                </c:pt>
                <c:pt idx="4">
                  <c:v>10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Травмы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Лист1!$G$2:$G$6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er>
          <c:idx val="6"/>
          <c:order val="6"/>
          <c:tx>
            <c:strRef>
              <c:f>Лист1!$H$1</c:f>
              <c:strCache>
                <c:ptCount val="1"/>
                <c:pt idx="0">
                  <c:v>ИМП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Лист1!$H$2:$H$6</c:f>
              <c:numCache>
                <c:formatCode>General</c:formatCode>
                <c:ptCount val="5"/>
                <c:pt idx="0">
                  <c:v>1</c:v>
                </c:pt>
                <c:pt idx="1">
                  <c:v>1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7"/>
          <c:order val="7"/>
          <c:tx>
            <c:strRef>
              <c:f>Лист1!$I$1</c:f>
              <c:strCache>
                <c:ptCount val="1"/>
                <c:pt idx="0">
                  <c:v xml:space="preserve">Кишеч. Инфекции</c:v>
                </c:pt>
              </c:strCache>
            </c:strRef>
          </c:tx>
          <c:cat>
            <c:strRef>
              <c:f>Лист1!$A$2:$A$6</c:f>
              <c:strCache>
                <c:ptCount val="5"/>
                <c:pt idx="0">
                  <c:v xml:space="preserve">2020 год</c:v>
                </c:pt>
                <c:pt idx="1">
                  <c:v xml:space="preserve">2021 год</c:v>
                </c:pt>
                <c:pt idx="2">
                  <c:v xml:space="preserve">2022 год</c:v>
                </c:pt>
                <c:pt idx="3">
                  <c:v xml:space="preserve">2023 год</c:v>
                </c:pt>
                <c:pt idx="4">
                  <c:v xml:space="preserve">2024 год</c:v>
                </c:pt>
              </c:strCache>
            </c:strRef>
          </c:cat>
          <c:val>
            <c:numRef>
              <c:f>Лист1!$I$2:$I$6</c:f>
              <c:numCache>
                <c:formatCode>General</c:formatCode>
                <c:ptCount val="5"/>
                <c:pt idx="0">
                  <c:v>1</c:v>
                </c:pt>
                <c:pt idx="1">
                  <c:v>4</c:v>
                </c:pt>
                <c:pt idx="2">
                  <c:v>9</c:v>
                </c:pt>
                <c:pt idx="3">
                  <c:v>23</c:v>
                </c:pt>
                <c:pt idx="4">
                  <c:v>8</c:v>
                </c:pt>
              </c:numCache>
            </c:numRef>
          </c:val>
        </c:ser>
        <c:dLbls>
          <c:showBubbleSize val="0"/>
          <c:showCatName val="0"/>
          <c:showLegendKey val="0"/>
          <c:showPercent val="0"/>
          <c:showSerName val="0"/>
          <c:showVal val="0"/>
        </c:dLbls>
        <c:gapWidth val="150"/>
        <c:axId val="142219520"/>
        <c:axId val="142245888"/>
      </c:barChart>
      <c:catAx>
        <c:axId val="142219520"/>
        <c:scaling>
          <c:orientation val="minMax"/>
        </c:scaling>
        <c:delete val="0"/>
        <c:axPos val="b"/>
        <c:majorTickMark val="out"/>
        <c:minorTickMark val="none"/>
        <c:tickLblPos val="nextTo"/>
        <c:crossAx val="142245888"/>
        <c:crosses val="autoZero"/>
        <c:auto val="1"/>
        <c:lblAlgn val="ctr"/>
        <c:lblOffset val="100"/>
        <c:noMultiLvlLbl val="0"/>
      </c:catAx>
      <c:valAx>
        <c:axId val="142245888"/>
        <c:scaling>
          <c:orientation val="minMax"/>
        </c:scaling>
        <c:delete val="0"/>
        <c:axPos val="l"/>
        <c:majorGridlines>
          <c:spPr bwMode="auto"/>
        </c:majorGridlines>
        <c:numFmt formatCode="General" sourceLinked="1"/>
        <c:majorTickMark val="out"/>
        <c:minorTickMark val="none"/>
        <c:tickLblPos val="nextTo"/>
        <c:crossAx val="142219520"/>
        <c:crosses val="autoZero"/>
        <c:crossBetween val="between"/>
      </c:valAx>
    </c:plotArea>
    <c:legend>
      <c:legendPos val="r"/>
      <c:layout/>
      <c:overlay val="0"/>
    </c:legend>
    <c:plotVisOnly val="1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Мед кабинет</dc:creator>
  <cp:keywords/>
  <dc:description/>
  <cp:lastModifiedBy>Ирина</cp:lastModifiedBy>
  <cp:revision>13</cp:revision>
  <dcterms:created xsi:type="dcterms:W3CDTF">2024-12-24T06:32:00Z</dcterms:created>
  <dcterms:modified xsi:type="dcterms:W3CDTF">2025-03-24T10:26:20Z</dcterms:modified>
</cp:coreProperties>
</file>